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>
    <v:background id="_x0000_s1025" o:bwmode="white" fillcolor="#e5b8b7 [1301]" o:targetscreensize="1024,768">
      <v:fill color2="#92cddc [1944]" focusposition=".5,.5" focussize="" focus="100%" type="gradientRadial"/>
    </v:background>
  </w:background>
  <w:body>
    <w:p w:rsidR="00704402" w:rsidRPr="003176DA" w:rsidRDefault="00704402" w:rsidP="003D563C">
      <w:pPr>
        <w:spacing w:line="0" w:lineRule="atLeast"/>
        <w:jc w:val="center"/>
        <w:rPr>
          <w:rFonts w:ascii="Arial" w:eastAsia="Arial" w:hAnsi="Arial"/>
          <w:b/>
          <w:color w:val="FF0000"/>
          <w:sz w:val="28"/>
          <w:szCs w:val="28"/>
          <w:lang w:val="uk-UA"/>
        </w:rPr>
      </w:pPr>
      <w:r w:rsidRPr="003176DA">
        <w:rPr>
          <w:rFonts w:ascii="Arial" w:eastAsia="Arial" w:hAnsi="Arial"/>
          <w:b/>
          <w:color w:val="FF0000"/>
          <w:sz w:val="28"/>
          <w:szCs w:val="28"/>
        </w:rPr>
        <w:t xml:space="preserve">ІНВЕСТИЦІЙНИЙ </w:t>
      </w:r>
      <w:r w:rsidRPr="003176DA">
        <w:rPr>
          <w:rFonts w:ascii="Arial" w:eastAsia="Arial" w:hAnsi="Arial"/>
          <w:b/>
          <w:color w:val="FF0000"/>
          <w:sz w:val="28"/>
          <w:szCs w:val="28"/>
          <w:lang w:val="uk-UA"/>
        </w:rPr>
        <w:t>ПАСПОРТ</w:t>
      </w:r>
      <w:r w:rsidR="000130D8" w:rsidRPr="003176DA">
        <w:rPr>
          <w:rFonts w:ascii="Arial" w:eastAsia="Arial" w:hAnsi="Arial"/>
          <w:b/>
          <w:color w:val="FF0000"/>
          <w:sz w:val="28"/>
          <w:szCs w:val="28"/>
          <w:lang w:val="uk-UA"/>
        </w:rPr>
        <w:t xml:space="preserve"> БОЛГРАДСЬКОГО РАЙОНУ</w:t>
      </w:r>
    </w:p>
    <w:p w:rsidR="00704402" w:rsidRPr="003176DA" w:rsidRDefault="00704402" w:rsidP="003176DA">
      <w:pPr>
        <w:spacing w:line="177" w:lineRule="exact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04402" w:rsidRPr="003176DA" w:rsidRDefault="00704402" w:rsidP="003176DA">
      <w:pPr>
        <w:spacing w:line="0" w:lineRule="atLeast"/>
        <w:jc w:val="center"/>
        <w:rPr>
          <w:rFonts w:ascii="Arial" w:eastAsia="Arial" w:hAnsi="Arial"/>
          <w:b/>
          <w:color w:val="FF0000"/>
          <w:sz w:val="28"/>
          <w:szCs w:val="28"/>
          <w:lang w:val="uk-UA"/>
        </w:rPr>
      </w:pPr>
      <w:r w:rsidRPr="003176DA">
        <w:rPr>
          <w:rFonts w:ascii="Arial" w:eastAsia="Arial" w:hAnsi="Arial"/>
          <w:b/>
          <w:color w:val="FF0000"/>
          <w:sz w:val="28"/>
          <w:szCs w:val="28"/>
          <w:lang w:val="uk-UA"/>
        </w:rPr>
        <w:t>Шановні друзі!</w:t>
      </w:r>
    </w:p>
    <w:p w:rsidR="00704402" w:rsidRPr="000130D8" w:rsidRDefault="00704402" w:rsidP="00704402">
      <w:pPr>
        <w:spacing w:line="106" w:lineRule="exact"/>
        <w:rPr>
          <w:rFonts w:ascii="Times New Roman" w:eastAsia="Times New Roman" w:hAnsi="Times New Roman"/>
          <w:lang w:val="uk-UA"/>
        </w:rPr>
      </w:pPr>
    </w:p>
    <w:p w:rsidR="00704402" w:rsidRPr="000130D8" w:rsidRDefault="00704402" w:rsidP="00704402">
      <w:pPr>
        <w:spacing w:line="243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Болградський район - центр Бессарабії, унікальний і гостинний край півдня України.</w:t>
      </w:r>
    </w:p>
    <w:p w:rsidR="00704402" w:rsidRPr="000130D8" w:rsidRDefault="00704402" w:rsidP="00704402">
      <w:pPr>
        <w:spacing w:line="1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4402" w:rsidRPr="000130D8" w:rsidRDefault="00704402" w:rsidP="00704402">
      <w:pPr>
        <w:spacing w:line="265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Район розташований у південно-західній частині Одеської області на кордоні з Р. Молдова і в безпосередній близькості від кордону з Р. Румунія, є воротами до країн південно-східної Європи.</w:t>
      </w:r>
    </w:p>
    <w:p w:rsidR="00704402" w:rsidRPr="000130D8" w:rsidRDefault="00704402" w:rsidP="00704402">
      <w:pPr>
        <w:spacing w:line="2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4402" w:rsidRPr="000130D8" w:rsidRDefault="00704402" w:rsidP="00704402">
      <w:pPr>
        <w:spacing w:line="254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Болградський район - це благо</w:t>
      </w:r>
      <w:r w:rsidR="00B70FBD">
        <w:rPr>
          <w:rFonts w:ascii="Arial" w:eastAsia="Arial" w:hAnsi="Arial"/>
          <w:sz w:val="24"/>
          <w:szCs w:val="24"/>
          <w:lang w:val="uk-UA"/>
        </w:rPr>
        <w:t>датний і родючий край, де на ба</w:t>
      </w:r>
      <w:r w:rsidRPr="000130D8">
        <w:rPr>
          <w:rFonts w:ascii="Arial" w:eastAsia="Arial" w:hAnsi="Arial"/>
          <w:sz w:val="24"/>
          <w:szCs w:val="24"/>
          <w:lang w:val="uk-UA"/>
        </w:rPr>
        <w:t>гато кілометрів розкинулися виногра</w:t>
      </w:r>
      <w:r w:rsidR="00B70FBD">
        <w:rPr>
          <w:rFonts w:ascii="Arial" w:eastAsia="Arial" w:hAnsi="Arial"/>
          <w:sz w:val="24"/>
          <w:szCs w:val="24"/>
          <w:lang w:val="uk-UA"/>
        </w:rPr>
        <w:t>дні плантації, цвітуть сади, зе</w:t>
      </w:r>
      <w:r w:rsidRPr="000130D8">
        <w:rPr>
          <w:rFonts w:ascii="Arial" w:eastAsia="Arial" w:hAnsi="Arial"/>
          <w:sz w:val="24"/>
          <w:szCs w:val="24"/>
          <w:lang w:val="uk-UA"/>
        </w:rPr>
        <w:t>леніють ниви. Жителі району славляться гостин</w:t>
      </w:r>
      <w:r w:rsidR="00B70FBD">
        <w:rPr>
          <w:rFonts w:ascii="Arial" w:eastAsia="Arial" w:hAnsi="Arial"/>
          <w:sz w:val="24"/>
          <w:szCs w:val="24"/>
          <w:lang w:val="uk-UA"/>
        </w:rPr>
        <w:t>ністю, про їх працьо</w:t>
      </w:r>
      <w:r w:rsidRPr="000130D8">
        <w:rPr>
          <w:rFonts w:ascii="Arial" w:eastAsia="Arial" w:hAnsi="Arial"/>
          <w:sz w:val="24"/>
          <w:szCs w:val="24"/>
          <w:lang w:val="uk-UA"/>
        </w:rPr>
        <w:t>витість кажуть доглянуті поля й затишні будинки. Це колоритний і самобутній край. Щедро наділені</w:t>
      </w:r>
      <w:r w:rsidR="00B70FBD">
        <w:rPr>
          <w:rFonts w:ascii="Arial" w:eastAsia="Arial" w:hAnsi="Arial"/>
          <w:sz w:val="24"/>
          <w:szCs w:val="24"/>
          <w:lang w:val="uk-UA"/>
        </w:rPr>
        <w:t xml:space="preserve"> талантами люди бережуть і шану</w:t>
      </w:r>
      <w:r w:rsidRPr="000130D8">
        <w:rPr>
          <w:rFonts w:ascii="Arial" w:eastAsia="Arial" w:hAnsi="Arial"/>
          <w:sz w:val="24"/>
          <w:szCs w:val="24"/>
          <w:lang w:val="uk-UA"/>
        </w:rPr>
        <w:t>ють традиції предків, рідну мову, розвивають національні культури, налагоджують тісні контакти та зміцнюють міжнаціональні відносини з представниками національних громад інших регіонів, у тому числі й за кордоном.</w:t>
      </w:r>
    </w:p>
    <w:p w:rsidR="00704402" w:rsidRPr="000130D8" w:rsidRDefault="00704402" w:rsidP="00704402">
      <w:pPr>
        <w:spacing w:line="2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4402" w:rsidRPr="000130D8" w:rsidRDefault="00704402" w:rsidP="00704402">
      <w:pPr>
        <w:spacing w:line="265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 xml:space="preserve">Основою економіки району </w:t>
      </w:r>
      <w:r w:rsidR="00B70FBD">
        <w:rPr>
          <w:rFonts w:ascii="Arial" w:eastAsia="Arial" w:hAnsi="Arial"/>
          <w:sz w:val="24"/>
          <w:szCs w:val="24"/>
          <w:lang w:val="uk-UA"/>
        </w:rPr>
        <w:t>є вирощування та переробка сіль</w:t>
      </w:r>
      <w:r w:rsidRPr="000130D8">
        <w:rPr>
          <w:rFonts w:ascii="Arial" w:eastAsia="Arial" w:hAnsi="Arial"/>
          <w:sz w:val="24"/>
          <w:szCs w:val="24"/>
          <w:lang w:val="uk-UA"/>
        </w:rPr>
        <w:t>ськогосподарської продукції. Край славиться своїми досягненнями в виноградарській галузі. Піклуючи</w:t>
      </w:r>
      <w:r w:rsidR="00B70FBD">
        <w:rPr>
          <w:rFonts w:ascii="Arial" w:eastAsia="Arial" w:hAnsi="Arial"/>
          <w:sz w:val="24"/>
          <w:szCs w:val="24"/>
          <w:lang w:val="uk-UA"/>
        </w:rPr>
        <w:t>сь про своє майбутнє, Болградщи</w:t>
      </w:r>
      <w:r w:rsidRPr="000130D8">
        <w:rPr>
          <w:rFonts w:ascii="Arial" w:eastAsia="Arial" w:hAnsi="Arial"/>
          <w:sz w:val="24"/>
          <w:szCs w:val="24"/>
          <w:lang w:val="uk-UA"/>
        </w:rPr>
        <w:t>на пропонує все найкраще, що сьо</w:t>
      </w:r>
      <w:r w:rsidR="00B70FBD">
        <w:rPr>
          <w:rFonts w:ascii="Arial" w:eastAsia="Arial" w:hAnsi="Arial"/>
          <w:sz w:val="24"/>
          <w:szCs w:val="24"/>
          <w:lang w:val="uk-UA"/>
        </w:rPr>
        <w:t>годні є в арсеналі району. Спри</w:t>
      </w:r>
      <w:r w:rsidRPr="000130D8">
        <w:rPr>
          <w:rFonts w:ascii="Arial" w:eastAsia="Arial" w:hAnsi="Arial"/>
          <w:sz w:val="24"/>
          <w:szCs w:val="24"/>
          <w:lang w:val="uk-UA"/>
        </w:rPr>
        <w:t>ятливими для надходження інвести</w:t>
      </w:r>
      <w:r w:rsidR="00B70FBD">
        <w:rPr>
          <w:rFonts w:ascii="Arial" w:eastAsia="Arial" w:hAnsi="Arial"/>
          <w:sz w:val="24"/>
          <w:szCs w:val="24"/>
          <w:lang w:val="uk-UA"/>
        </w:rPr>
        <w:t>цій у район є такі чинники: при</w:t>
      </w:r>
      <w:r w:rsidRPr="000130D8">
        <w:rPr>
          <w:rFonts w:ascii="Arial" w:eastAsia="Arial" w:hAnsi="Arial"/>
          <w:sz w:val="24"/>
          <w:szCs w:val="24"/>
          <w:lang w:val="uk-UA"/>
        </w:rPr>
        <w:t>кордонне розташування, наявність вільних трудових ресурсів (у т.ч. кваліфікованих фахівців), швидко зростаючий регіональний ринок, сусідство та можливість виходу на потужні ринки збуту в Молдові, Румунії та країнах Євросоюзу. Залучення інвестицій у Болградський район є пріоритетним напрямком роботи районних органів влади, яке узгоджується з основними завданнями соціально-економічного розвитку Одеської області й держави.</w:t>
      </w:r>
    </w:p>
    <w:p w:rsidR="00704402" w:rsidRPr="000130D8" w:rsidRDefault="00704402" w:rsidP="00704402">
      <w:pPr>
        <w:spacing w:line="9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4402" w:rsidRPr="000130D8" w:rsidRDefault="00704402" w:rsidP="00704402">
      <w:pPr>
        <w:spacing w:line="265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На сьогоднішній день в районі вж</w:t>
      </w:r>
      <w:r w:rsidR="00B70FBD">
        <w:rPr>
          <w:rFonts w:ascii="Arial" w:eastAsia="Arial" w:hAnsi="Arial"/>
          <w:sz w:val="24"/>
          <w:szCs w:val="24"/>
          <w:lang w:val="uk-UA"/>
        </w:rPr>
        <w:t>е реалізується низка інвестицій</w:t>
      </w:r>
      <w:r w:rsidRPr="000130D8">
        <w:rPr>
          <w:rFonts w:ascii="Arial" w:eastAsia="Arial" w:hAnsi="Arial"/>
          <w:sz w:val="24"/>
          <w:szCs w:val="24"/>
          <w:lang w:val="uk-UA"/>
        </w:rPr>
        <w:t>них проектів. Органи виконавчої влади та місцевого самоврядування створюють для інвесторів найбільш сприятливі умови, стаючи для</w:t>
      </w:r>
    </w:p>
    <w:p w:rsidR="00704402" w:rsidRPr="000130D8" w:rsidRDefault="00704402" w:rsidP="00704402">
      <w:pPr>
        <w:spacing w:line="27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4402" w:rsidRPr="000130D8" w:rsidRDefault="00704402" w:rsidP="00704402">
      <w:pPr>
        <w:spacing w:line="247" w:lineRule="auto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них надійними партнерами. Болг</w:t>
      </w:r>
      <w:r w:rsidR="00B70FBD">
        <w:rPr>
          <w:rFonts w:ascii="Arial" w:eastAsia="Arial" w:hAnsi="Arial"/>
          <w:sz w:val="24"/>
          <w:szCs w:val="24"/>
          <w:lang w:val="uk-UA"/>
        </w:rPr>
        <w:t>радський район готовий стати на</w:t>
      </w:r>
      <w:r w:rsidRPr="000130D8">
        <w:rPr>
          <w:rFonts w:ascii="Arial" w:eastAsia="Arial" w:hAnsi="Arial"/>
          <w:sz w:val="24"/>
          <w:szCs w:val="24"/>
          <w:lang w:val="uk-UA"/>
        </w:rPr>
        <w:t>дійним і рівноправним партнером для будь-якого інвестора. Тільки спільними зусиллями можна ство</w:t>
      </w:r>
      <w:r w:rsidR="00B70FBD">
        <w:rPr>
          <w:rFonts w:ascii="Arial" w:eastAsia="Arial" w:hAnsi="Arial"/>
          <w:sz w:val="24"/>
          <w:szCs w:val="24"/>
          <w:lang w:val="uk-UA"/>
        </w:rPr>
        <w:t>рити сильну економіку та прибут</w:t>
      </w:r>
      <w:r w:rsidRPr="000130D8">
        <w:rPr>
          <w:rFonts w:ascii="Arial" w:eastAsia="Arial" w:hAnsi="Arial"/>
          <w:sz w:val="24"/>
          <w:szCs w:val="24"/>
          <w:lang w:val="uk-UA"/>
        </w:rPr>
        <w:t>ковий бізнес, гідно виглядати на світовому ринку.</w:t>
      </w:r>
    </w:p>
    <w:p w:rsidR="00704402" w:rsidRPr="000130D8" w:rsidRDefault="00704402" w:rsidP="00704402">
      <w:pPr>
        <w:spacing w:line="3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F34BB" w:rsidRDefault="00704402" w:rsidP="00704402">
      <w:pPr>
        <w:spacing w:line="251" w:lineRule="auto"/>
        <w:ind w:left="2560" w:right="1060" w:hanging="1506"/>
        <w:rPr>
          <w:rFonts w:ascii="Arial" w:eastAsia="Arial" w:hAnsi="Arial"/>
          <w:b/>
          <w:color w:val="FF0000"/>
          <w:sz w:val="24"/>
          <w:szCs w:val="24"/>
          <w:lang w:val="uk-UA"/>
        </w:rPr>
      </w:pPr>
      <w:r w:rsidRPr="00FF34BB">
        <w:rPr>
          <w:rFonts w:ascii="Arial" w:eastAsia="Arial" w:hAnsi="Arial"/>
          <w:b/>
          <w:color w:val="FF0000"/>
          <w:sz w:val="24"/>
          <w:szCs w:val="24"/>
          <w:lang w:val="uk-UA"/>
        </w:rPr>
        <w:t xml:space="preserve">Ми завжди відкриті для співпраці й діалогу! </w:t>
      </w:r>
    </w:p>
    <w:p w:rsidR="00704402" w:rsidRPr="00FF34BB" w:rsidRDefault="00704402" w:rsidP="00FF34BB">
      <w:pPr>
        <w:spacing w:line="251" w:lineRule="auto"/>
        <w:ind w:left="2560" w:right="1060" w:hanging="1506"/>
        <w:jc w:val="center"/>
        <w:rPr>
          <w:rFonts w:ascii="Arial" w:eastAsia="Arial" w:hAnsi="Arial"/>
          <w:b/>
          <w:color w:val="FF0000"/>
          <w:sz w:val="24"/>
          <w:szCs w:val="24"/>
          <w:lang w:val="uk-UA"/>
        </w:rPr>
      </w:pPr>
      <w:r w:rsidRPr="00FF34BB">
        <w:rPr>
          <w:rFonts w:ascii="Arial" w:eastAsia="Arial" w:hAnsi="Arial"/>
          <w:b/>
          <w:color w:val="FF0000"/>
          <w:sz w:val="24"/>
          <w:szCs w:val="24"/>
          <w:lang w:val="uk-UA"/>
        </w:rPr>
        <w:t>Ласкаво просимо!</w:t>
      </w:r>
    </w:p>
    <w:p w:rsidR="00124E1F" w:rsidRPr="000130D8" w:rsidRDefault="00124E1F">
      <w:pPr>
        <w:rPr>
          <w:sz w:val="24"/>
          <w:szCs w:val="24"/>
          <w:lang w:val="uk-UA"/>
        </w:rPr>
      </w:pPr>
    </w:p>
    <w:p w:rsidR="007455BF" w:rsidRPr="002B3456" w:rsidRDefault="007455BF" w:rsidP="002B3456">
      <w:pPr>
        <w:spacing w:line="0" w:lineRule="atLeast"/>
        <w:jc w:val="center"/>
        <w:rPr>
          <w:rFonts w:ascii="Arial" w:eastAsia="Arial" w:hAnsi="Arial"/>
          <w:b/>
          <w:color w:val="FF0000"/>
          <w:sz w:val="24"/>
          <w:lang w:val="uk-UA"/>
        </w:rPr>
      </w:pPr>
      <w:r w:rsidRPr="002B3456">
        <w:rPr>
          <w:rFonts w:ascii="Arial" w:eastAsia="Arial" w:hAnsi="Arial"/>
          <w:b/>
          <w:noProof/>
          <w:color w:val="FF0000"/>
          <w:sz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8705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84" cy="1069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456">
        <w:rPr>
          <w:rFonts w:ascii="Arial" w:eastAsia="Arial" w:hAnsi="Arial"/>
          <w:b/>
          <w:color w:val="FF0000"/>
          <w:sz w:val="24"/>
          <w:lang w:val="uk-UA"/>
        </w:rPr>
        <w:t>БОЛГРАДСЬКИЙ РАЙОН НА КАРТІ</w:t>
      </w:r>
    </w:p>
    <w:p w:rsidR="007455BF" w:rsidRPr="002B3456" w:rsidRDefault="007455BF" w:rsidP="007455BF">
      <w:pPr>
        <w:spacing w:line="12" w:lineRule="exact"/>
        <w:rPr>
          <w:rFonts w:ascii="Times New Roman" w:eastAsia="Times New Roman" w:hAnsi="Times New Roman"/>
          <w:color w:val="FF0000"/>
          <w:lang w:val="uk-UA"/>
        </w:rPr>
      </w:pPr>
    </w:p>
    <w:p w:rsidR="007455BF" w:rsidRPr="002B3456" w:rsidRDefault="007455BF" w:rsidP="00DA4867">
      <w:pPr>
        <w:spacing w:line="0" w:lineRule="atLeast"/>
        <w:jc w:val="center"/>
        <w:rPr>
          <w:rFonts w:ascii="Arial" w:eastAsia="Arial" w:hAnsi="Arial"/>
          <w:b/>
          <w:color w:val="FF0000"/>
          <w:sz w:val="24"/>
          <w:lang w:val="uk-UA"/>
        </w:rPr>
      </w:pPr>
      <w:r w:rsidRPr="002B3456">
        <w:rPr>
          <w:rFonts w:ascii="Arial" w:eastAsia="Arial" w:hAnsi="Arial"/>
          <w:b/>
          <w:color w:val="FF0000"/>
          <w:sz w:val="24"/>
          <w:lang w:val="uk-UA"/>
        </w:rPr>
        <w:t>ОДЕСЬКОЇ ОБЛАСТІ</w:t>
      </w:r>
    </w:p>
    <w:p w:rsidR="007455BF" w:rsidRDefault="007455BF" w:rsidP="007455BF">
      <w:pPr>
        <w:spacing w:line="38" w:lineRule="exact"/>
        <w:rPr>
          <w:rFonts w:ascii="Times New Roman" w:eastAsia="Times New Roman" w:hAnsi="Times New Roman"/>
        </w:rPr>
      </w:pPr>
    </w:p>
    <w:p w:rsidR="007455BF" w:rsidRPr="000130D8" w:rsidRDefault="007455BF" w:rsidP="00DA4867">
      <w:pPr>
        <w:spacing w:line="274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Болградський район розташований у південно-західній частині Одеської області. Район межує: на півночі - з Тарути</w:t>
      </w:r>
      <w:r w:rsidR="00EC012F">
        <w:rPr>
          <w:rFonts w:ascii="Arial" w:eastAsia="Arial" w:hAnsi="Arial"/>
          <w:sz w:val="24"/>
          <w:szCs w:val="24"/>
          <w:lang w:val="uk-UA"/>
        </w:rPr>
        <w:t>нським районом, на сході - з Ар</w:t>
      </w:r>
      <w:r w:rsidRPr="000130D8">
        <w:rPr>
          <w:rFonts w:ascii="Arial" w:eastAsia="Arial" w:hAnsi="Arial"/>
          <w:sz w:val="24"/>
          <w:szCs w:val="24"/>
          <w:lang w:val="uk-UA"/>
        </w:rPr>
        <w:t>цизьким, на півдні - з Ізмаїльським і Ренійським районами Одеської області, на заході - з Республікою Молдова. Загаль</w:t>
      </w:r>
      <w:r w:rsidR="00EC012F">
        <w:rPr>
          <w:rFonts w:ascii="Arial" w:eastAsia="Arial" w:hAnsi="Arial"/>
          <w:sz w:val="24"/>
          <w:szCs w:val="24"/>
          <w:lang w:val="uk-UA"/>
        </w:rPr>
        <w:t>на площа території району стано</w:t>
      </w:r>
      <w:r w:rsidRPr="000130D8">
        <w:rPr>
          <w:rFonts w:ascii="Arial" w:eastAsia="Arial" w:hAnsi="Arial"/>
          <w:sz w:val="24"/>
          <w:szCs w:val="24"/>
          <w:lang w:val="uk-UA"/>
        </w:rPr>
        <w:t>вить 1465 кв. км (4,4% території Одеської області), в тому числі 38,2 кв. км території займає одне з найбільших прісноводних озер України - озеро Ялпуг.</w:t>
      </w:r>
      <w:r w:rsidR="00DA4867" w:rsidRPr="000130D8">
        <w:rPr>
          <w:rFonts w:ascii="Arial" w:eastAsia="Arial" w:hAnsi="Arial"/>
          <w:sz w:val="24"/>
          <w:szCs w:val="24"/>
          <w:lang w:val="uk-UA"/>
        </w:rPr>
        <w:t xml:space="preserve"> </w:t>
      </w:r>
      <w:r w:rsidRPr="000130D8">
        <w:rPr>
          <w:rFonts w:ascii="Arial" w:eastAsia="Arial" w:hAnsi="Arial"/>
          <w:lang w:val="uk-UA"/>
        </w:rPr>
        <w:t xml:space="preserve">Адміністративним, господарським і культурним центром Болградського району є місто Болград, засноване в 1821 році генерал-губернатором І.М. </w:t>
      </w:r>
      <w:proofErr w:type="spellStart"/>
      <w:r w:rsidRPr="000130D8">
        <w:rPr>
          <w:rFonts w:ascii="Arial" w:eastAsia="Arial" w:hAnsi="Arial"/>
          <w:lang w:val="uk-UA"/>
        </w:rPr>
        <w:t>Інзовим</w:t>
      </w:r>
      <w:proofErr w:type="spellEnd"/>
      <w:r w:rsidRPr="000130D8">
        <w:rPr>
          <w:rFonts w:ascii="Arial" w:eastAsia="Arial" w:hAnsi="Arial"/>
          <w:lang w:val="uk-UA"/>
        </w:rPr>
        <w:t>.</w:t>
      </w:r>
    </w:p>
    <w:p w:rsidR="007455BF" w:rsidRPr="000130D8" w:rsidRDefault="007455BF" w:rsidP="007455BF">
      <w:pPr>
        <w:spacing w:line="264" w:lineRule="auto"/>
        <w:ind w:left="3640"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>Місто Болград розташоване на схід</w:t>
      </w:r>
      <w:r w:rsidR="00EC012F">
        <w:rPr>
          <w:rFonts w:ascii="Arial" w:eastAsia="Arial" w:hAnsi="Arial"/>
          <w:sz w:val="24"/>
          <w:szCs w:val="24"/>
          <w:lang w:val="uk-UA"/>
        </w:rPr>
        <w:t>ному березі озера Ялпуг, на від</w:t>
      </w:r>
      <w:r w:rsidRPr="000130D8">
        <w:rPr>
          <w:rFonts w:ascii="Arial" w:eastAsia="Arial" w:hAnsi="Arial"/>
          <w:sz w:val="24"/>
          <w:szCs w:val="24"/>
          <w:lang w:val="uk-UA"/>
        </w:rPr>
        <w:t>стані 234 км від обласного центру - міста Одеси. На території району розташований 21 населений пункт, об</w:t>
      </w:r>
      <w:r w:rsidR="00EC012F">
        <w:rPr>
          <w:rFonts w:ascii="Arial" w:eastAsia="Arial" w:hAnsi="Arial"/>
          <w:sz w:val="24"/>
          <w:szCs w:val="24"/>
          <w:lang w:val="uk-UA"/>
        </w:rPr>
        <w:t>’єднані в 20 територіальних гро</w:t>
      </w:r>
      <w:r w:rsidRPr="000130D8">
        <w:rPr>
          <w:rFonts w:ascii="Arial" w:eastAsia="Arial" w:hAnsi="Arial"/>
          <w:sz w:val="24"/>
          <w:szCs w:val="24"/>
          <w:lang w:val="uk-UA"/>
        </w:rPr>
        <w:t xml:space="preserve">мад (районна, міська та 18 сільських рад). Чисельність населення </w:t>
      </w:r>
      <w:r w:rsidR="00EC012F" w:rsidRPr="000130D8">
        <w:rPr>
          <w:rFonts w:ascii="Arial" w:eastAsia="Arial" w:hAnsi="Arial"/>
          <w:sz w:val="24"/>
          <w:szCs w:val="24"/>
          <w:lang w:val="uk-UA"/>
        </w:rPr>
        <w:t>Болградського</w:t>
      </w:r>
      <w:r w:rsidRPr="000130D8">
        <w:rPr>
          <w:rFonts w:ascii="Arial" w:eastAsia="Arial" w:hAnsi="Arial"/>
          <w:sz w:val="24"/>
          <w:szCs w:val="24"/>
          <w:lang w:val="uk-UA"/>
        </w:rPr>
        <w:t xml:space="preserve"> району становить 69,0 тис. осіб, що становит</w:t>
      </w:r>
      <w:r w:rsidR="00EC012F">
        <w:rPr>
          <w:rFonts w:ascii="Arial" w:eastAsia="Arial" w:hAnsi="Arial"/>
          <w:sz w:val="24"/>
          <w:szCs w:val="24"/>
          <w:lang w:val="uk-UA"/>
        </w:rPr>
        <w:t>ь 2,9% населен</w:t>
      </w:r>
      <w:r w:rsidRPr="000130D8">
        <w:rPr>
          <w:rFonts w:ascii="Arial" w:eastAsia="Arial" w:hAnsi="Arial"/>
          <w:sz w:val="24"/>
          <w:szCs w:val="24"/>
          <w:lang w:val="uk-UA"/>
        </w:rPr>
        <w:t>ня Одеської області.</w:t>
      </w:r>
    </w:p>
    <w:p w:rsidR="007455BF" w:rsidRPr="000130D8" w:rsidRDefault="007455BF" w:rsidP="00DA4867">
      <w:pPr>
        <w:spacing w:line="0" w:lineRule="atLeast"/>
        <w:jc w:val="center"/>
        <w:rPr>
          <w:rFonts w:ascii="Arial" w:eastAsia="Arial" w:hAnsi="Arial"/>
          <w:b/>
          <w:lang w:val="uk-UA"/>
        </w:rPr>
      </w:pPr>
      <w:r w:rsidRPr="000130D8">
        <w:rPr>
          <w:rFonts w:ascii="Arial" w:eastAsia="Arial" w:hAnsi="Arial"/>
          <w:b/>
          <w:lang w:val="uk-UA"/>
        </w:rPr>
        <w:t>ГЕОГРАФІЧНЕ ПОЛОЖЕННЯ Й</w:t>
      </w:r>
    </w:p>
    <w:p w:rsidR="007455BF" w:rsidRPr="000130D8" w:rsidRDefault="007455BF" w:rsidP="00DA4867">
      <w:pPr>
        <w:spacing w:line="0" w:lineRule="atLeast"/>
        <w:jc w:val="center"/>
        <w:rPr>
          <w:rFonts w:ascii="Arial" w:eastAsia="Arial" w:hAnsi="Arial"/>
          <w:b/>
          <w:sz w:val="24"/>
          <w:lang w:val="uk-UA"/>
        </w:rPr>
      </w:pPr>
      <w:r w:rsidRPr="000130D8">
        <w:rPr>
          <w:rFonts w:ascii="Arial" w:eastAsia="Arial" w:hAnsi="Arial"/>
          <w:b/>
          <w:sz w:val="24"/>
          <w:lang w:val="uk-UA"/>
        </w:rPr>
        <w:t>ТРАНЗИТНИЙ ПОТЕНЦІАЛ</w:t>
      </w:r>
    </w:p>
    <w:p w:rsidR="007455BF" w:rsidRPr="000130D8" w:rsidRDefault="007455BF" w:rsidP="00DA4867">
      <w:pPr>
        <w:spacing w:line="260" w:lineRule="auto"/>
        <w:ind w:left="3686"/>
        <w:jc w:val="both"/>
        <w:rPr>
          <w:rFonts w:ascii="Arial" w:eastAsia="Arial" w:hAnsi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 xml:space="preserve">Болградський район має вигідне </w:t>
      </w:r>
      <w:r w:rsidR="00EC012F">
        <w:rPr>
          <w:rFonts w:ascii="Arial" w:eastAsia="Arial" w:hAnsi="Arial"/>
          <w:sz w:val="24"/>
          <w:szCs w:val="24"/>
          <w:lang w:val="uk-UA"/>
        </w:rPr>
        <w:t>прикордонне й транзитне розташу</w:t>
      </w:r>
      <w:r w:rsidRPr="000130D8">
        <w:rPr>
          <w:rFonts w:ascii="Arial" w:eastAsia="Arial" w:hAnsi="Arial"/>
          <w:sz w:val="24"/>
          <w:szCs w:val="24"/>
          <w:lang w:val="uk-UA"/>
        </w:rPr>
        <w:t xml:space="preserve">вання, що робить його привабливим для інвестування. Район широким </w:t>
      </w:r>
      <w:r w:rsidR="00EC012F">
        <w:rPr>
          <w:rFonts w:ascii="Arial" w:eastAsia="Arial" w:hAnsi="Arial"/>
          <w:sz w:val="24"/>
          <w:szCs w:val="24"/>
          <w:lang w:val="uk-UA"/>
        </w:rPr>
        <w:t>фронтом межує з південним регіо</w:t>
      </w:r>
      <w:r w:rsidRPr="000130D8">
        <w:rPr>
          <w:rFonts w:ascii="Arial" w:eastAsia="Arial" w:hAnsi="Arial"/>
          <w:sz w:val="24"/>
          <w:szCs w:val="24"/>
          <w:lang w:val="uk-UA"/>
        </w:rPr>
        <w:t>ном Р. Молдова</w:t>
      </w:r>
      <w:r w:rsidR="00EC012F">
        <w:rPr>
          <w:rFonts w:ascii="Arial" w:eastAsia="Arial" w:hAnsi="Arial"/>
          <w:sz w:val="24"/>
          <w:szCs w:val="24"/>
          <w:lang w:val="uk-UA"/>
        </w:rPr>
        <w:t>, на відстані 50 км зна</w:t>
      </w:r>
      <w:r w:rsidRPr="000130D8">
        <w:rPr>
          <w:rFonts w:ascii="Arial" w:eastAsia="Arial" w:hAnsi="Arial"/>
          <w:sz w:val="24"/>
          <w:szCs w:val="24"/>
          <w:lang w:val="uk-UA"/>
        </w:rPr>
        <w:t xml:space="preserve">ходиться територія Румунії. Район </w:t>
      </w:r>
      <w:r w:rsidR="00EC012F">
        <w:rPr>
          <w:rFonts w:ascii="Arial" w:eastAsia="Arial" w:hAnsi="Arial"/>
          <w:sz w:val="24"/>
          <w:szCs w:val="24"/>
          <w:lang w:val="uk-UA"/>
        </w:rPr>
        <w:t>перетинають найважливіші автомо</w:t>
      </w:r>
      <w:r w:rsidRPr="000130D8">
        <w:rPr>
          <w:rFonts w:ascii="Arial" w:eastAsia="Arial" w:hAnsi="Arial"/>
          <w:sz w:val="24"/>
          <w:szCs w:val="24"/>
          <w:lang w:val="uk-UA"/>
        </w:rPr>
        <w:t>біль</w:t>
      </w:r>
      <w:r w:rsidR="00EC012F">
        <w:rPr>
          <w:rFonts w:ascii="Arial" w:eastAsia="Arial" w:hAnsi="Arial"/>
          <w:sz w:val="24"/>
          <w:szCs w:val="24"/>
          <w:lang w:val="uk-UA"/>
        </w:rPr>
        <w:t>ні магістралі: Міжнародний тран</w:t>
      </w:r>
      <w:r w:rsidRPr="000130D8">
        <w:rPr>
          <w:rFonts w:ascii="Arial" w:eastAsia="Arial" w:hAnsi="Arial"/>
          <w:sz w:val="24"/>
          <w:szCs w:val="24"/>
          <w:lang w:val="uk-UA"/>
        </w:rPr>
        <w:t>спортний коридор №9 (Критський), автодороги державного значення Одеса -</w:t>
      </w:r>
      <w:r w:rsidR="00EC012F">
        <w:rPr>
          <w:rFonts w:ascii="Arial" w:eastAsia="Arial" w:hAnsi="Arial"/>
          <w:sz w:val="24"/>
          <w:szCs w:val="24"/>
          <w:lang w:val="uk-UA"/>
        </w:rPr>
        <w:t xml:space="preserve"> Рені, Ізмаїл - Кишинів (Р. Мол</w:t>
      </w:r>
      <w:r w:rsidRPr="000130D8">
        <w:rPr>
          <w:rFonts w:ascii="Arial" w:eastAsia="Arial" w:hAnsi="Arial"/>
          <w:sz w:val="24"/>
          <w:szCs w:val="24"/>
          <w:lang w:val="uk-UA"/>
        </w:rPr>
        <w:t>дова).</w:t>
      </w:r>
    </w:p>
    <w:p w:rsidR="007455BF" w:rsidRPr="000130D8" w:rsidRDefault="007455BF" w:rsidP="00DA4867">
      <w:pPr>
        <w:spacing w:line="10" w:lineRule="exact"/>
        <w:ind w:left="3686"/>
        <w:rPr>
          <w:rFonts w:ascii="Times New Roman" w:eastAsia="Times New Roman" w:hAnsi="Times New Roman"/>
          <w:lang w:val="uk-UA"/>
        </w:rPr>
      </w:pPr>
    </w:p>
    <w:p w:rsidR="00DA4867" w:rsidRPr="000130D8" w:rsidRDefault="007455BF" w:rsidP="00DA4867">
      <w:pPr>
        <w:ind w:left="3686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0130D8">
        <w:rPr>
          <w:rFonts w:ascii="Arial" w:eastAsia="Arial" w:hAnsi="Arial"/>
          <w:sz w:val="24"/>
          <w:szCs w:val="24"/>
          <w:lang w:val="uk-UA"/>
        </w:rPr>
        <w:t xml:space="preserve">Значно підвищить транзитну роль і інвестиційний потенціал району будівництво та введення в дію нової автомагістралі Одеса – Рені </w:t>
      </w:r>
      <w:r w:rsidR="00DA4867" w:rsidRPr="000130D8">
        <w:rPr>
          <w:rFonts w:ascii="Arial" w:hAnsi="Arial" w:cs="Arial"/>
          <w:sz w:val="24"/>
          <w:szCs w:val="24"/>
          <w:lang w:val="uk-UA"/>
        </w:rPr>
        <w:t xml:space="preserve">Введення даного об'єкта в експлуатацію дозволить значно активізувати взаємне переміщення вантажів між Україною та країнами Південної та Центральної Європи. У свою чергу, на території району буде створена сучасна транспортно-транзитна інфраструктура. </w:t>
      </w:r>
    </w:p>
    <w:p w:rsidR="00704402" w:rsidRPr="000130D8" w:rsidRDefault="00704402" w:rsidP="00DA4867">
      <w:pPr>
        <w:ind w:left="1843"/>
        <w:rPr>
          <w:lang w:val="uk-UA"/>
        </w:rPr>
      </w:pPr>
    </w:p>
    <w:p w:rsidR="00DA4867" w:rsidRPr="007047D8" w:rsidRDefault="00B57FAA" w:rsidP="00DA4867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7047D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7724775</wp:posOffset>
            </wp:positionH>
            <wp:positionV relativeFrom="page">
              <wp:posOffset>619125</wp:posOffset>
            </wp:positionV>
            <wp:extent cx="7591425" cy="10753725"/>
            <wp:effectExtent l="19050" t="0" r="9525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867" w:rsidRPr="007047D8">
        <w:rPr>
          <w:rFonts w:ascii="Arial" w:hAnsi="Arial" w:cs="Arial"/>
          <w:sz w:val="24"/>
          <w:szCs w:val="24"/>
          <w:lang w:val="uk-UA"/>
        </w:rPr>
        <w:t xml:space="preserve">Район перетинає залізнична гілка Рені-Кишинів, на відстані 42 км розташована залізнична станція Ізмаїл. Важливим фактором є безпосередня близькість району до головної транспортної артерії Європи - річки Дунай і українських портів: Ізмаїл, Рені та </w:t>
      </w:r>
      <w:proofErr w:type="spellStart"/>
      <w:r w:rsidR="00DA4867" w:rsidRPr="007047D8">
        <w:rPr>
          <w:rFonts w:ascii="Arial" w:hAnsi="Arial" w:cs="Arial"/>
          <w:sz w:val="24"/>
          <w:szCs w:val="24"/>
          <w:lang w:val="uk-UA"/>
        </w:rPr>
        <w:t>Кілія</w:t>
      </w:r>
      <w:proofErr w:type="spellEnd"/>
      <w:r w:rsidR="00DA4867" w:rsidRPr="007047D8">
        <w:rPr>
          <w:rFonts w:ascii="Arial" w:hAnsi="Arial" w:cs="Arial"/>
          <w:sz w:val="24"/>
          <w:szCs w:val="24"/>
          <w:lang w:val="uk-UA"/>
        </w:rPr>
        <w:t xml:space="preserve">, відстань до яких відповідно 42, 86 і </w:t>
      </w:r>
      <w:r w:rsidR="00DA4867" w:rsidRPr="007047D8">
        <w:rPr>
          <w:rFonts w:ascii="Arial" w:hAnsi="Arial" w:cs="Arial"/>
          <w:sz w:val="24"/>
          <w:szCs w:val="24"/>
          <w:lang w:val="uk-UA"/>
        </w:rPr>
        <w:br/>
        <w:t>105 км. Це дає можливість виходу через Дунай і Чорне море до Світового океану, а також швидко й недорого доставляти вантажі до країн центральної Європи.</w:t>
      </w:r>
    </w:p>
    <w:p w:rsidR="00992D15" w:rsidRPr="007047D8" w:rsidRDefault="00992D15" w:rsidP="00B57FAA">
      <w:pPr>
        <w:spacing w:line="0" w:lineRule="atLeast"/>
        <w:ind w:left="1820"/>
        <w:rPr>
          <w:rFonts w:ascii="Arial" w:eastAsia="Arial" w:hAnsi="Arial"/>
          <w:b/>
          <w:sz w:val="24"/>
          <w:lang w:val="uk-UA"/>
        </w:rPr>
      </w:pPr>
      <w:r w:rsidRPr="007047D8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400050</wp:posOffset>
            </wp:positionH>
            <wp:positionV relativeFrom="page">
              <wp:posOffset>2314575</wp:posOffset>
            </wp:positionV>
            <wp:extent cx="5505450" cy="7191375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9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D15" w:rsidRPr="007047D8" w:rsidRDefault="00992D15" w:rsidP="00B57FAA">
      <w:pPr>
        <w:spacing w:line="0" w:lineRule="atLeast"/>
        <w:ind w:left="1820"/>
        <w:rPr>
          <w:rFonts w:ascii="Arial" w:eastAsia="Arial" w:hAnsi="Arial"/>
          <w:b/>
          <w:sz w:val="24"/>
          <w:lang w:val="uk-UA"/>
        </w:rPr>
      </w:pPr>
    </w:p>
    <w:p w:rsidR="00B57FAA" w:rsidRPr="007047D8" w:rsidRDefault="00B57FAA" w:rsidP="00B57FAA">
      <w:pPr>
        <w:spacing w:line="0" w:lineRule="atLeast"/>
        <w:ind w:left="1820"/>
        <w:rPr>
          <w:rFonts w:ascii="Arial" w:eastAsia="Arial" w:hAnsi="Arial"/>
          <w:b/>
          <w:sz w:val="24"/>
          <w:lang w:val="uk-UA"/>
        </w:rPr>
      </w:pPr>
      <w:r w:rsidRPr="007047D8">
        <w:rPr>
          <w:rFonts w:ascii="Arial" w:eastAsia="Arial" w:hAnsi="Arial"/>
          <w:b/>
          <w:sz w:val="24"/>
          <w:lang w:val="uk-UA"/>
        </w:rPr>
        <w:t>ПРИРОДНІ БАГАТСТВА РАЙОНУ</w:t>
      </w:r>
    </w:p>
    <w:p w:rsidR="00B57FAA" w:rsidRPr="007047D8" w:rsidRDefault="00B57FAA" w:rsidP="00B57FAA">
      <w:pPr>
        <w:spacing w:line="38" w:lineRule="exact"/>
        <w:rPr>
          <w:rFonts w:ascii="Times New Roman" w:eastAsia="Times New Roman" w:hAnsi="Times New Roman"/>
          <w:lang w:val="uk-UA"/>
        </w:rPr>
      </w:pPr>
    </w:p>
    <w:p w:rsidR="00B57FAA" w:rsidRPr="007047D8" w:rsidRDefault="00B57FAA" w:rsidP="00B57FAA">
      <w:pPr>
        <w:spacing w:line="260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7047D8">
        <w:rPr>
          <w:rFonts w:ascii="Arial" w:eastAsia="Arial" w:hAnsi="Arial"/>
          <w:sz w:val="24"/>
          <w:szCs w:val="24"/>
          <w:lang w:val="uk-UA"/>
        </w:rPr>
        <w:t xml:space="preserve">Головне природне багатство району - земельні ресурси, які 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представле-ні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південними 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середньо-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і 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слабогумусними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чорноземами. Середньорічна кількість опадів становить 460-510 мм на рік. Середньорічна температура повітря становить + 10,2 0С, найхолодніший місяць року - січень (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серед-ньомісячна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температура становить -2,2 0С), найбільш висока 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середньомі-сячна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температура в липні (21,6 0С). Період активної вегетації триває 240 днів, у той же час плюсові температури тримаються 280 днів.</w:t>
      </w:r>
    </w:p>
    <w:p w:rsidR="00B57FAA" w:rsidRPr="007047D8" w:rsidRDefault="00B57FAA" w:rsidP="00B57FAA">
      <w:pPr>
        <w:spacing w:line="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57FAA" w:rsidRPr="007047D8" w:rsidRDefault="00B57FAA" w:rsidP="00B57FAA">
      <w:pPr>
        <w:spacing w:line="260" w:lineRule="auto"/>
        <w:ind w:firstLine="283"/>
        <w:jc w:val="both"/>
        <w:rPr>
          <w:rFonts w:ascii="Arial" w:eastAsia="Arial" w:hAnsi="Arial"/>
          <w:sz w:val="24"/>
          <w:szCs w:val="24"/>
          <w:lang w:val="uk-UA"/>
        </w:rPr>
      </w:pPr>
      <w:r w:rsidRPr="007047D8">
        <w:rPr>
          <w:rFonts w:ascii="Arial" w:eastAsia="Arial" w:hAnsi="Arial"/>
          <w:sz w:val="24"/>
          <w:szCs w:val="24"/>
          <w:lang w:val="uk-UA"/>
        </w:rPr>
        <w:t xml:space="preserve">Загальна площа земель району становить - 146 500 га; з них: </w:t>
      </w:r>
      <w:proofErr w:type="spellStart"/>
      <w:r w:rsidRPr="007047D8">
        <w:rPr>
          <w:rFonts w:ascii="Arial" w:eastAsia="Arial" w:hAnsi="Arial"/>
          <w:sz w:val="24"/>
          <w:szCs w:val="24"/>
          <w:lang w:val="uk-UA"/>
        </w:rPr>
        <w:t>сільсько-господарських</w:t>
      </w:r>
      <w:proofErr w:type="spellEnd"/>
      <w:r w:rsidRPr="007047D8">
        <w:rPr>
          <w:rFonts w:ascii="Arial" w:eastAsia="Arial" w:hAnsi="Arial"/>
          <w:sz w:val="24"/>
          <w:szCs w:val="24"/>
          <w:lang w:val="uk-UA"/>
        </w:rPr>
        <w:t xml:space="preserve"> угідь - 114 696 га; у тому числі: ріллі - 90 369 га; багаторічних насаджень - 10 948 га; сінокосів - 632 га; пасовищ - 12 743 га.</w:t>
      </w:r>
    </w:p>
    <w:p w:rsidR="00B57FAA" w:rsidRPr="007047D8" w:rsidRDefault="00B57FAA" w:rsidP="00B57FAA">
      <w:pPr>
        <w:spacing w:line="2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92D15" w:rsidRPr="007047D8" w:rsidRDefault="00992D15" w:rsidP="00B57FAA">
      <w:pPr>
        <w:spacing w:line="260" w:lineRule="auto"/>
        <w:ind w:left="4420" w:firstLine="283"/>
        <w:jc w:val="both"/>
        <w:rPr>
          <w:rFonts w:ascii="Arial" w:eastAsia="Arial" w:hAnsi="Arial"/>
          <w:sz w:val="24"/>
          <w:szCs w:val="24"/>
          <w:lang w:val="uk-UA"/>
        </w:rPr>
      </w:pPr>
    </w:p>
    <w:p w:rsidR="00992D15" w:rsidRPr="007047D8" w:rsidRDefault="00992D15" w:rsidP="00B57FAA">
      <w:pPr>
        <w:spacing w:line="260" w:lineRule="auto"/>
        <w:ind w:left="4420" w:firstLine="283"/>
        <w:jc w:val="both"/>
        <w:rPr>
          <w:rFonts w:ascii="Arial" w:eastAsia="Arial" w:hAnsi="Arial"/>
          <w:sz w:val="24"/>
          <w:szCs w:val="24"/>
          <w:lang w:val="uk-UA"/>
        </w:rPr>
      </w:pPr>
    </w:p>
    <w:p w:rsidR="00B57FAA" w:rsidRPr="007047D8" w:rsidRDefault="006552AD" w:rsidP="00B57FAA">
      <w:pPr>
        <w:spacing w:line="260" w:lineRule="auto"/>
        <w:ind w:left="4420" w:firstLine="283"/>
        <w:jc w:val="both"/>
        <w:rPr>
          <w:rFonts w:ascii="Arial" w:eastAsia="Arial" w:hAnsi="Arial"/>
          <w:sz w:val="24"/>
          <w:szCs w:val="24"/>
          <w:lang w:val="uk-UA"/>
        </w:rPr>
      </w:pPr>
      <w:r>
        <w:rPr>
          <w:rFonts w:ascii="Arial" w:eastAsia="Arial" w:hAnsi="Arial"/>
          <w:sz w:val="24"/>
          <w:szCs w:val="24"/>
          <w:lang w:val="uk-UA"/>
        </w:rPr>
        <w:t>На території району роз</w:t>
      </w:r>
      <w:r w:rsidR="00B57FAA" w:rsidRPr="007047D8">
        <w:rPr>
          <w:rFonts w:ascii="Arial" w:eastAsia="Arial" w:hAnsi="Arial"/>
          <w:sz w:val="24"/>
          <w:szCs w:val="24"/>
          <w:lang w:val="uk-UA"/>
        </w:rPr>
        <w:t>ташоване одне з найбільших прісноводних озер України - озеро Ялпуг, яке займає</w:t>
      </w:r>
      <w:r>
        <w:rPr>
          <w:rFonts w:ascii="Arial" w:eastAsia="Arial" w:hAnsi="Arial"/>
          <w:sz w:val="24"/>
          <w:szCs w:val="24"/>
          <w:lang w:val="uk-UA"/>
        </w:rPr>
        <w:t xml:space="preserve"> 38,2 кв. км. Воно багате рибни</w:t>
      </w:r>
      <w:r w:rsidR="00B57FAA" w:rsidRPr="007047D8">
        <w:rPr>
          <w:rFonts w:ascii="Arial" w:eastAsia="Arial" w:hAnsi="Arial"/>
          <w:sz w:val="24"/>
          <w:szCs w:val="24"/>
          <w:lang w:val="uk-UA"/>
        </w:rPr>
        <w:t>ми ресурсами, сприятливе для рекреації та «зеленого туризму». Велику цінність представляють величезні поклади сапропелю на дні озера. На території району залягають потужні піщано-</w:t>
      </w:r>
    </w:p>
    <w:p w:rsidR="00B57FAA" w:rsidRPr="007047D8" w:rsidRDefault="00B57FAA" w:rsidP="00B57FAA">
      <w:pPr>
        <w:spacing w:line="9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57FAA" w:rsidRPr="007047D8" w:rsidRDefault="00B57FAA" w:rsidP="00B57FAA">
      <w:pPr>
        <w:spacing w:line="267" w:lineRule="auto"/>
        <w:jc w:val="both"/>
        <w:rPr>
          <w:rFonts w:ascii="Arial" w:eastAsia="Arial" w:hAnsi="Arial"/>
          <w:sz w:val="24"/>
          <w:szCs w:val="24"/>
          <w:lang w:val="uk-UA"/>
        </w:rPr>
      </w:pPr>
      <w:r w:rsidRPr="007047D8">
        <w:rPr>
          <w:rFonts w:ascii="Arial" w:eastAsia="Arial" w:hAnsi="Arial"/>
          <w:sz w:val="24"/>
          <w:szCs w:val="24"/>
          <w:lang w:val="uk-UA"/>
        </w:rPr>
        <w:t>глинисті прісноводні відкладення з шарами гальки та гравію, завдяки чому є можливість для організації виробництва будівельних матеріалів (цегли, черепиці та ін.). За своїми природно-кліматичними умовами район є однією з кращих в Україні зон для вирощування винограду. Район також займає лідируюче місце в Одеській області за е</w:t>
      </w:r>
      <w:r w:rsidR="006552AD">
        <w:rPr>
          <w:rFonts w:ascii="Arial" w:eastAsia="Arial" w:hAnsi="Arial"/>
          <w:sz w:val="24"/>
          <w:szCs w:val="24"/>
          <w:lang w:val="uk-UA"/>
        </w:rPr>
        <w:t>кологічною чистотою, що забезпе</w:t>
      </w:r>
      <w:r w:rsidRPr="007047D8">
        <w:rPr>
          <w:rFonts w:ascii="Arial" w:eastAsia="Arial" w:hAnsi="Arial"/>
          <w:sz w:val="24"/>
          <w:szCs w:val="24"/>
          <w:lang w:val="uk-UA"/>
        </w:rPr>
        <w:t>чується озерами, лісовими насадженнями та степовими просторами.</w:t>
      </w:r>
    </w:p>
    <w:p w:rsidR="00704402" w:rsidRPr="007047D8" w:rsidRDefault="00704402">
      <w:pPr>
        <w:rPr>
          <w:sz w:val="24"/>
          <w:szCs w:val="24"/>
          <w:lang w:val="uk-UA"/>
        </w:rPr>
      </w:pPr>
    </w:p>
    <w:p w:rsidR="00704402" w:rsidRPr="007047D8" w:rsidRDefault="00704402">
      <w:pPr>
        <w:rPr>
          <w:sz w:val="24"/>
          <w:szCs w:val="24"/>
          <w:lang w:val="uk-UA"/>
        </w:rPr>
      </w:pPr>
    </w:p>
    <w:p w:rsidR="00406FD0" w:rsidRPr="004B7FAE" w:rsidRDefault="009218A6" w:rsidP="00C754FF">
      <w:pPr>
        <w:tabs>
          <w:tab w:val="left" w:pos="360"/>
        </w:tabs>
        <w:jc w:val="center"/>
        <w:rPr>
          <w:rFonts w:ascii="Arial" w:eastAsia="Times New Roman" w:hAnsi="Arial" w:cs="Arial"/>
          <w:b/>
          <w:caps/>
          <w:color w:val="FF0000"/>
          <w:sz w:val="24"/>
          <w:szCs w:val="24"/>
          <w:u w:val="single"/>
          <w:lang w:val="uk-UA" w:eastAsia="zh-CN"/>
        </w:rPr>
      </w:pPr>
      <w:r w:rsidRPr="004B7FAE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1425" cy="10744200"/>
            <wp:effectExtent l="19050" t="0" r="9525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15" cy="1075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FD0" w:rsidRPr="004B7FAE">
        <w:rPr>
          <w:rFonts w:ascii="Arial" w:eastAsia="Times New Roman" w:hAnsi="Arial" w:cs="Arial"/>
          <w:b/>
          <w:caps/>
          <w:color w:val="FF0000"/>
          <w:sz w:val="24"/>
          <w:szCs w:val="24"/>
          <w:u w:val="single"/>
          <w:lang w:val="uk-UA" w:eastAsia="zh-CN"/>
        </w:rPr>
        <w:t>ШЛЯХОВА МЕРЕЖА</w:t>
      </w:r>
    </w:p>
    <w:p w:rsidR="00406FD0" w:rsidRPr="00406FD0" w:rsidRDefault="00406FD0" w:rsidP="00406FD0">
      <w:pPr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406FD0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Усього комунальних доріг – </w:t>
      </w:r>
      <w:r w:rsidRPr="00406FD0">
        <w:rPr>
          <w:rFonts w:ascii="Arial" w:eastAsia="Times New Roman" w:hAnsi="Arial" w:cs="Arial"/>
          <w:b/>
          <w:sz w:val="24"/>
          <w:szCs w:val="24"/>
          <w:lang w:val="uk-UA"/>
        </w:rPr>
        <w:t>433,0</w:t>
      </w:r>
      <w:r w:rsidRPr="00406FD0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км, з них:</w:t>
      </w:r>
    </w:p>
    <w:p w:rsidR="00406FD0" w:rsidRPr="00406FD0" w:rsidRDefault="00406FD0" w:rsidP="00406F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406FD0">
        <w:rPr>
          <w:rFonts w:ascii="Arial" w:eastAsia="Times New Roman" w:hAnsi="Arial" w:cs="Arial"/>
          <w:sz w:val="24"/>
          <w:szCs w:val="24"/>
          <w:lang w:val="uk-UA"/>
        </w:rPr>
        <w:t>з твердим покриттям – 250,0 км;</w:t>
      </w:r>
    </w:p>
    <w:p w:rsidR="00406FD0" w:rsidRPr="00406FD0" w:rsidRDefault="00406FD0" w:rsidP="00406F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406FD0">
        <w:rPr>
          <w:rFonts w:ascii="Arial" w:eastAsia="Times New Roman" w:hAnsi="Arial" w:cs="Arial"/>
          <w:sz w:val="24"/>
          <w:szCs w:val="24"/>
          <w:lang w:val="uk-UA"/>
        </w:rPr>
        <w:t>асфальтним покриттям - 204 км;</w:t>
      </w:r>
    </w:p>
    <w:p w:rsidR="00406FD0" w:rsidRPr="00406FD0" w:rsidRDefault="00406FD0" w:rsidP="00406F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406FD0">
        <w:rPr>
          <w:rFonts w:ascii="Arial" w:eastAsia="Times New Roman" w:hAnsi="Arial" w:cs="Arial"/>
          <w:sz w:val="24"/>
          <w:szCs w:val="24"/>
          <w:lang w:val="uk-UA"/>
        </w:rPr>
        <w:t>ґрунтовим покриттям - 183 км;</w:t>
      </w:r>
    </w:p>
    <w:p w:rsidR="00406FD0" w:rsidRPr="00406FD0" w:rsidRDefault="00406FD0" w:rsidP="00406FD0">
      <w:pPr>
        <w:tabs>
          <w:tab w:val="num" w:pos="435"/>
        </w:tabs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406FD0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Усього доріг загального користування – 336,0 км, з них: </w:t>
      </w:r>
      <w:r w:rsidRPr="00406FD0">
        <w:rPr>
          <w:rFonts w:ascii="Arial" w:eastAsia="Times New Roman" w:hAnsi="Arial" w:cs="Arial"/>
          <w:sz w:val="24"/>
          <w:szCs w:val="24"/>
          <w:lang w:val="uk-UA"/>
        </w:rPr>
        <w:t>з твердим покриттям – 336,0 км; асфальтним покриттям – 336,0 км</w:t>
      </w:r>
    </w:p>
    <w:p w:rsidR="00502E98" w:rsidRPr="004B7FAE" w:rsidRDefault="00502E98" w:rsidP="00502E98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uk-UA"/>
        </w:rPr>
      </w:pPr>
      <w:r w:rsidRPr="004B7FAE">
        <w:rPr>
          <w:rFonts w:ascii="Arial" w:eastAsia="Times New Roman" w:hAnsi="Arial" w:cs="Arial"/>
          <w:b/>
          <w:bCs/>
          <w:caps/>
          <w:color w:val="FF0000"/>
          <w:spacing w:val="-1"/>
          <w:sz w:val="24"/>
          <w:szCs w:val="24"/>
          <w:u w:val="single"/>
          <w:lang w:val="uk-UA"/>
        </w:rPr>
        <w:t>Гуманітарна та соціальна сфери</w:t>
      </w:r>
    </w:p>
    <w:p w:rsidR="00502E98" w:rsidRPr="00502E98" w:rsidRDefault="00502E98" w:rsidP="00C754FF">
      <w:pPr>
        <w:widowControl w:val="0"/>
        <w:ind w:right="-285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  <w:r w:rsidRPr="00502E98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Характеристика галузі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>В Болградському районі функціонують 25 загальноосвітні навчальні заклади з них: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ab/>
        <w:t>2 заклади обласного підпорядкування: ОЗ «Спеціалізована загальноосвітня школа-інтернат «Болградська  гімназія ім. Г.Раковського»,  КЗ «Болградська спеціалізована загальноосвітня школа-інтернат І-ІІІ ступенів з дошкільними групами колекційного та реабілітаційного спрямування»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color w:val="FF0000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502E98">
        <w:rPr>
          <w:rFonts w:ascii="Arial" w:eastAsia="Times New Roman" w:hAnsi="Arial" w:cs="Arial"/>
          <w:sz w:val="24"/>
          <w:szCs w:val="24"/>
          <w:lang w:val="uk-UA"/>
        </w:rPr>
        <w:tab/>
        <w:t>5- навчально-виховних комплексів І-ІІІ ступенів ( Болградський навчально-виховний комплекс «Спеціалізована школа І-ІІІ ступенів-ліцей» Болградської районної ради Одеської області, Новотроянівський навчально-виховний комплекс «Загальноосвітня школа І-ІІІ ступенів – ліцей-дошкільний навчальний заклад», Олександрівський навчально-виховний комплекс «Загальноосвітня школа І-ІІІ ступенів – дошкільний навчальний заклад» Болградської районної ради Одеської області, Червоноармійський навчально-виховний комплекс «Загальноосвітня школа І-ІІІ ступенів - ліцей», Дмитрівський навчально-виховний комплекс «Загальноосвітня школа І-ІІІ ступенів – дошкільний навчальний заклад» Болградської районної ради Одеської області.)</w:t>
      </w:r>
      <w:r>
        <w:rPr>
          <w:rFonts w:ascii="Arial" w:hAnsi="Arial" w:cs="Arial"/>
          <w:sz w:val="24"/>
          <w:szCs w:val="24"/>
          <w:lang w:val="uk-UA"/>
        </w:rPr>
        <w:t>;</w:t>
      </w:r>
      <w:r w:rsidRPr="00502E98">
        <w:rPr>
          <w:rFonts w:ascii="Arial" w:eastAsia="Times New Roman" w:hAnsi="Arial" w:cs="Arial"/>
          <w:color w:val="FF0000"/>
          <w:sz w:val="24"/>
          <w:szCs w:val="24"/>
          <w:lang w:val="uk-UA"/>
        </w:rPr>
        <w:t xml:space="preserve"> 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color w:val="FF0000"/>
          <w:sz w:val="24"/>
          <w:szCs w:val="24"/>
          <w:lang w:val="uk-UA"/>
        </w:rPr>
        <w:tab/>
      </w:r>
      <w:r w:rsidRPr="00502E98">
        <w:rPr>
          <w:rFonts w:ascii="Arial" w:eastAsia="Times New Roman" w:hAnsi="Arial" w:cs="Arial"/>
          <w:sz w:val="24"/>
          <w:szCs w:val="24"/>
          <w:lang w:val="uk-UA"/>
        </w:rPr>
        <w:t>1 навчально-виховний комплекс І-ІІ ступенів (Голицький навчально-виховний комплекс «Загальноосвітня школа І-ІІ ступенів – дошкільний навчальний заклад» Болградської районної ради Одеської області.)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502E98" w:rsidRPr="00502E98" w:rsidRDefault="00502E98" w:rsidP="00502E98">
      <w:pPr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ab/>
        <w:t>16 – загальноосвітніх шкіл І-ІІІ ступенів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ab/>
        <w:t xml:space="preserve">1- Болградська вечірня загальноосвітня школа ІІ-ІІІ ступенів Болградської районної ради Одеської області.                                                                       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502E98">
        <w:rPr>
          <w:rFonts w:ascii="Arial" w:eastAsia="Times New Roman" w:hAnsi="Arial" w:cs="Arial"/>
          <w:i/>
          <w:sz w:val="24"/>
          <w:szCs w:val="24"/>
          <w:lang w:val="uk-UA"/>
        </w:rPr>
        <w:t>За мовами навчання:</w:t>
      </w:r>
      <w:r w:rsidRPr="00502E98">
        <w:rPr>
          <w:rFonts w:ascii="Arial" w:eastAsia="Times New Roman" w:hAnsi="Arial" w:cs="Arial"/>
          <w:sz w:val="24"/>
          <w:szCs w:val="24"/>
          <w:lang w:val="uk-UA"/>
        </w:rPr>
        <w:t xml:space="preserve"> 5 шкіл з українською мовою навчання,  9 шкіл із російською мовою навчання, 8 двомовні школи: 7 шкіл з  російською та українською мовами навчання, 1- болгарською та українською мовами навчання.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>У 15 школах як предмет вивчається болгарська мова, у 4 школах як предмет вивчається гагаузька мова, албанська мова факультативно вивчається у 1 школі.</w:t>
      </w:r>
    </w:p>
    <w:p w:rsidR="00DC5EF0" w:rsidRDefault="00DC5EF0" w:rsidP="00502E9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502E98" w:rsidRPr="00502E98" w:rsidRDefault="009218A6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218A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534275" cy="10734675"/>
            <wp:effectExtent l="19050" t="0" r="9525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25" cy="107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E98" w:rsidRPr="00502E98">
        <w:rPr>
          <w:rFonts w:ascii="Arial" w:eastAsia="Times New Roman" w:hAnsi="Arial" w:cs="Arial"/>
          <w:sz w:val="24"/>
          <w:szCs w:val="24"/>
          <w:lang w:val="uk-UA"/>
        </w:rPr>
        <w:t>У денних загальноосвітніх навчальних закладах району навчається   5871 учнів у 332 класах. Середня наповнюваність класів становить 17,7 учнів.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ab/>
        <w:t xml:space="preserve"> У Болградському районі функціонує освітній округ (на базі Болградського міжшкільного навчально-виробничого комбінату) навчаються 227 учнів 10-11 класів з 9 загальноосвітніх шкіл районну за 7 профілями.</w:t>
      </w:r>
    </w:p>
    <w:p w:rsidR="00502E98" w:rsidRPr="00502E98" w:rsidRDefault="00502E98" w:rsidP="00502E98">
      <w:pPr>
        <w:jc w:val="both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 xml:space="preserve">          </w:t>
      </w:r>
      <w:r w:rsidRPr="00502E98">
        <w:rPr>
          <w:rFonts w:ascii="Arial" w:eastAsia="Times New Roman" w:hAnsi="Arial" w:cs="Arial"/>
          <w:b/>
          <w:i/>
          <w:sz w:val="24"/>
          <w:szCs w:val="24"/>
          <w:lang w:val="uk-UA"/>
        </w:rPr>
        <w:t>Позашкільних навчальних закладів – 2</w:t>
      </w:r>
      <w:r w:rsidRPr="00502E98">
        <w:rPr>
          <w:rFonts w:ascii="Arial" w:eastAsia="Times New Roman" w:hAnsi="Arial" w:cs="Arial"/>
          <w:i/>
          <w:sz w:val="24"/>
          <w:szCs w:val="24"/>
          <w:lang w:val="uk-UA"/>
        </w:rPr>
        <w:t xml:space="preserve"> </w:t>
      </w:r>
      <w:r w:rsidRPr="00502E98">
        <w:rPr>
          <w:rFonts w:ascii="Arial" w:eastAsia="Times New Roman" w:hAnsi="Arial" w:cs="Arial"/>
          <w:sz w:val="24"/>
          <w:szCs w:val="24"/>
          <w:lang w:val="uk-UA"/>
        </w:rPr>
        <w:t>(Центр дитячої і юнацької творчості та Дитячо-юнацька спортивна школа)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b/>
          <w:i/>
          <w:sz w:val="24"/>
          <w:szCs w:val="24"/>
          <w:lang w:val="uk-UA"/>
        </w:rPr>
        <w:t>Дошкільна освіта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 xml:space="preserve">В районі функціонують 18 дошкільних навчальних заклад  та 4 дитячих садка у складі Новотроянівського НВК, Олександівського НВК, Голицького НВК та Дмитрівського НВК. Всі 22 дошкільні навчальні заклади (ДНЗ) працюють у постійному 5-денному режимі. Всього всіма формами дошкільної освіти охоплено 1881 дітей, дітей віком  від 3-х до 6 років - 1498 т. ч. у ДНЗ міста – 423, у ДНЗ сільської місцевості 1075 дітей. </w:t>
      </w:r>
    </w:p>
    <w:p w:rsidR="00502E98" w:rsidRPr="00502E98" w:rsidRDefault="00502E98" w:rsidP="00502E98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02E98">
        <w:rPr>
          <w:rFonts w:ascii="Arial" w:eastAsia="Times New Roman" w:hAnsi="Arial" w:cs="Arial"/>
          <w:sz w:val="24"/>
          <w:szCs w:val="24"/>
          <w:lang w:val="uk-UA"/>
        </w:rPr>
        <w:t>Забезпечення дітей п’ятирічного віку дошкільною освітою 100%.</w:t>
      </w:r>
    </w:p>
    <w:p w:rsidR="00406FD0" w:rsidRPr="004B7FAE" w:rsidRDefault="00C754FF" w:rsidP="007F7852">
      <w:pPr>
        <w:widowControl w:val="0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uk-UA"/>
        </w:rPr>
      </w:pPr>
      <w:r w:rsidRPr="004B7FAE">
        <w:rPr>
          <w:rFonts w:ascii="Tahoma" w:eastAsia="Times New Roman" w:hAnsi="Tahoma" w:cs="Tahoma"/>
          <w:b/>
          <w:caps/>
          <w:color w:val="FF0000"/>
          <w:u w:val="single"/>
          <w:lang w:val="uk-UA"/>
        </w:rPr>
        <w:t>охорона здоров’я</w:t>
      </w:r>
    </w:p>
    <w:p w:rsidR="00C754FF" w:rsidRDefault="00C754FF" w:rsidP="00C754FF">
      <w:pPr>
        <w:widowControl w:val="0"/>
        <w:ind w:right="-285"/>
        <w:jc w:val="center"/>
        <w:rPr>
          <w:b/>
          <w:sz w:val="28"/>
          <w:u w:val="single"/>
          <w:lang w:val="uk-UA"/>
        </w:rPr>
      </w:pPr>
      <w:r w:rsidRPr="00C754FF">
        <w:rPr>
          <w:rFonts w:ascii="Calibri" w:eastAsia="Times New Roman" w:hAnsi="Calibri" w:cs="Times New Roman"/>
          <w:b/>
          <w:sz w:val="28"/>
          <w:u w:val="single"/>
          <w:lang w:val="uk-UA"/>
        </w:rPr>
        <w:t>Характеристика галузі</w:t>
      </w:r>
    </w:p>
    <w:p w:rsidR="007F7852" w:rsidRPr="007F7852" w:rsidRDefault="007F7852" w:rsidP="007F7852">
      <w:pPr>
        <w:widowControl w:val="0"/>
        <w:ind w:right="-285"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У Болградському районі функціонують лікувальні заклади: Болградська центральна районна лікарня (далі - Болградська ЦРЛ) і Болградський центр первинної медико-санітарної допомоги (далі - Болградський ЦПМСД).</w:t>
      </w:r>
    </w:p>
    <w:p w:rsidR="007F7852" w:rsidRPr="007F7852" w:rsidRDefault="007F7852" w:rsidP="007F7852">
      <w:pPr>
        <w:widowControl w:val="0"/>
        <w:ind w:right="-285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Болградська ЦРЛ</w:t>
      </w:r>
      <w:r w:rsidRPr="007F7852">
        <w:rPr>
          <w:rStyle w:val="notranslate"/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є  лікувально-профілактичним закладом, який забезпечує стаціонарну та амбулаторно-поліклінічну допомогу населенню району і належить до установ</w:t>
      </w:r>
      <w:r w:rsidRPr="007F7852">
        <w:rPr>
          <w:rStyle w:val="apple-converted-space"/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r w:rsidRPr="007F7852">
        <w:rPr>
          <w:rStyle w:val="notranslate"/>
          <w:rFonts w:ascii="Arial" w:eastAsia="Times New Roman" w:hAnsi="Arial" w:cs="Arial"/>
          <w:color w:val="000000"/>
          <w:sz w:val="24"/>
          <w:szCs w:val="24"/>
          <w:lang w:val="uk-UA"/>
        </w:rPr>
        <w:t>II</w:t>
      </w:r>
      <w:r w:rsidRPr="007F7852">
        <w:rPr>
          <w:rStyle w:val="apple-converted-space"/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r w:rsidRPr="007F7852">
        <w:rPr>
          <w:rStyle w:val="notranslate"/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рівня надання медичної допомоги. </w:t>
      </w:r>
      <w:r w:rsidRPr="007F7852">
        <w:rPr>
          <w:rFonts w:ascii="Arial" w:eastAsia="Times New Roman" w:hAnsi="Arial" w:cs="Arial"/>
          <w:sz w:val="24"/>
          <w:szCs w:val="24"/>
          <w:lang w:val="uk-UA"/>
        </w:rPr>
        <w:t xml:space="preserve">З 1 листопада 2016 р. ліжковій фонд Болградської  ЦРЛ складає 300 ліжок. </w:t>
      </w:r>
    </w:p>
    <w:p w:rsidR="007F7852" w:rsidRPr="007F7852" w:rsidRDefault="007F7852" w:rsidP="007F7852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Амбулаторну допомогу надає консультативно-діагностичне поліклінічне відділення з планової потужністю 365 відвідувань за зміну та з 2 ліжками денного стаціонару; стоматологічне відділення на 10 крісел. Лікувальні - допоміжні відділення: рентгенологічне, фізіотерапевтичне, лабораторне, відділення трансфузіології. Також функціонують 2 кабінети ультразвукових  досліджень, кабінет функціональної діагностики, ендоскопічний кабінет.</w:t>
      </w:r>
    </w:p>
    <w:p w:rsidR="007F7852" w:rsidRPr="007F7852" w:rsidRDefault="007F7852" w:rsidP="007F7852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  <w:r w:rsidRPr="007F7852">
        <w:rPr>
          <w:rFonts w:ascii="Arial" w:eastAsia="Times New Roman" w:hAnsi="Arial" w:cs="Arial"/>
          <w:sz w:val="24"/>
          <w:szCs w:val="24"/>
          <w:lang w:val="uk-UA"/>
        </w:rPr>
        <w:tab/>
        <w:t>В структуру КЗ «Болградський ЦПМСД» входить:</w:t>
      </w:r>
    </w:p>
    <w:p w:rsidR="007F7852" w:rsidRPr="007F7852" w:rsidRDefault="007F7852" w:rsidP="007F7852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F7852">
        <w:rPr>
          <w:rFonts w:ascii="Arial" w:eastAsia="Times New Roman" w:hAnsi="Arial" w:cs="Arial"/>
          <w:sz w:val="24"/>
          <w:szCs w:val="24"/>
          <w:lang w:val="uk-UA"/>
        </w:rPr>
        <w:tab/>
        <w:t>- 1 відділення загальної практики сімейної медицини (ЗПСМ) м. Болград;</w:t>
      </w:r>
    </w:p>
    <w:p w:rsidR="007F7852" w:rsidRPr="007F7852" w:rsidRDefault="007F7852" w:rsidP="007F7852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- 15 сільських амбулаторій ЗПСМ;</w:t>
      </w:r>
    </w:p>
    <w:p w:rsidR="007F7852" w:rsidRPr="007F7852" w:rsidRDefault="007F7852" w:rsidP="007F7852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- 2 ФАПа (підпорядковані до лікарських амбулаторій ЗПСМ);</w:t>
      </w:r>
    </w:p>
    <w:p w:rsidR="00947353" w:rsidRDefault="007F7852" w:rsidP="00DC5EF0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7F7852">
        <w:rPr>
          <w:rFonts w:ascii="Arial" w:eastAsia="Times New Roman" w:hAnsi="Arial" w:cs="Arial"/>
          <w:sz w:val="24"/>
          <w:szCs w:val="24"/>
          <w:lang w:val="uk-UA"/>
        </w:rPr>
        <w:t>- 2 ФП (підпорядковані відділенню ЗПСМ м. Болград).</w:t>
      </w:r>
    </w:p>
    <w:p w:rsidR="003F10B5" w:rsidRPr="007552AB" w:rsidRDefault="007552AB" w:rsidP="00A9511C">
      <w:pPr>
        <w:widowControl w:val="0"/>
        <w:ind w:right="-285"/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7953375</wp:posOffset>
            </wp:positionH>
            <wp:positionV relativeFrom="page">
              <wp:posOffset>495300</wp:posOffset>
            </wp:positionV>
            <wp:extent cx="7572375" cy="10696575"/>
            <wp:effectExtent l="19050" t="0" r="9525" b="0"/>
            <wp:wrapNone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0B5" w:rsidRPr="007552AB">
        <w:rPr>
          <w:b/>
          <w:color w:val="FF0000"/>
          <w:sz w:val="28"/>
          <w:szCs w:val="28"/>
          <w:u w:val="single"/>
          <w:lang w:val="uk-UA"/>
        </w:rPr>
        <w:t>КУЛЬТУРА</w:t>
      </w:r>
    </w:p>
    <w:p w:rsidR="00A9511C" w:rsidRDefault="00A9511C" w:rsidP="00A9511C">
      <w:pPr>
        <w:widowControl w:val="0"/>
        <w:ind w:right="-285"/>
        <w:jc w:val="center"/>
        <w:rPr>
          <w:b/>
          <w:sz w:val="28"/>
          <w:szCs w:val="28"/>
          <w:u w:val="single"/>
          <w:lang w:val="uk-UA"/>
        </w:rPr>
      </w:pPr>
      <w:r w:rsidRPr="00E06047"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  <w:t>Характеристика галузі</w:t>
      </w:r>
    </w:p>
    <w:p w:rsidR="00A9511C" w:rsidRPr="00E61D40" w:rsidRDefault="00A9511C" w:rsidP="00A9511C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61D40">
        <w:rPr>
          <w:rFonts w:ascii="Arial" w:eastAsia="Times New Roman" w:hAnsi="Arial" w:cs="Arial"/>
          <w:sz w:val="24"/>
          <w:szCs w:val="24"/>
          <w:lang w:val="uk-UA"/>
        </w:rPr>
        <w:t>У Болградському районі  існує мережа закладів культури:</w:t>
      </w:r>
    </w:p>
    <w:p w:rsidR="00A9511C" w:rsidRPr="00E61D40" w:rsidRDefault="00A9511C" w:rsidP="00A9511C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-   </w:t>
      </w:r>
      <w:r w:rsidRPr="00E61D40">
        <w:rPr>
          <w:rFonts w:ascii="Arial" w:eastAsia="Times New Roman" w:hAnsi="Arial" w:cs="Arial"/>
          <w:b/>
          <w:sz w:val="24"/>
          <w:szCs w:val="24"/>
          <w:lang w:val="uk-UA"/>
        </w:rPr>
        <w:t>21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 клубний заклад у тому числі: районний будинок культури, міський будинок культури, </w:t>
      </w:r>
      <w:r w:rsidRPr="00E61D40">
        <w:rPr>
          <w:rFonts w:ascii="Arial" w:eastAsia="Times New Roman" w:hAnsi="Arial" w:cs="Arial"/>
          <w:b/>
          <w:sz w:val="24"/>
          <w:szCs w:val="24"/>
          <w:lang w:val="uk-UA"/>
        </w:rPr>
        <w:t xml:space="preserve">16 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 сільських будинків культури;</w:t>
      </w:r>
      <w:r w:rsidRPr="00E61D40">
        <w:rPr>
          <w:rFonts w:ascii="Arial" w:eastAsia="Times New Roman" w:hAnsi="Arial" w:cs="Arial"/>
          <w:b/>
          <w:sz w:val="24"/>
          <w:szCs w:val="24"/>
          <w:lang w:val="uk-UA"/>
        </w:rPr>
        <w:t xml:space="preserve"> 3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 сільських клуба;  </w:t>
      </w:r>
    </w:p>
    <w:p w:rsidR="00A9511C" w:rsidRPr="00E61D40" w:rsidRDefault="00A9511C" w:rsidP="00A9511C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-   </w:t>
      </w:r>
      <w:r w:rsidRPr="00E61D40">
        <w:rPr>
          <w:rFonts w:ascii="Arial" w:eastAsia="Times New Roman" w:hAnsi="Arial" w:cs="Arial"/>
          <w:b/>
          <w:sz w:val="24"/>
          <w:szCs w:val="24"/>
          <w:lang w:val="uk-UA"/>
        </w:rPr>
        <w:t>25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 бібліотек   у тому числі: центральна районна бібліотека для дорослих, районна бібліотека для дітей, </w:t>
      </w:r>
      <w:r w:rsidRPr="00E61D40">
        <w:rPr>
          <w:rFonts w:ascii="Arial" w:eastAsia="Times New Roman" w:hAnsi="Arial" w:cs="Arial"/>
          <w:b/>
          <w:sz w:val="24"/>
          <w:szCs w:val="24"/>
          <w:lang w:val="uk-UA"/>
        </w:rPr>
        <w:t xml:space="preserve">23 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>сільських бібліотек-філій;</w:t>
      </w:r>
    </w:p>
    <w:p w:rsidR="00A9511C" w:rsidRPr="00E61D40" w:rsidRDefault="00A9511C" w:rsidP="00A9511C">
      <w:pPr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61D40">
        <w:rPr>
          <w:rFonts w:ascii="Arial" w:eastAsia="Times New Roman" w:hAnsi="Arial" w:cs="Arial"/>
          <w:sz w:val="24"/>
          <w:szCs w:val="24"/>
          <w:lang w:val="uk-UA"/>
        </w:rPr>
        <w:t>- Болградська дитяча музична школа;</w:t>
      </w:r>
    </w:p>
    <w:p w:rsidR="00A9511C" w:rsidRPr="00E61D40" w:rsidRDefault="00A9511C" w:rsidP="00A9511C">
      <w:pPr>
        <w:pStyle w:val="a7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E61D40">
        <w:rPr>
          <w:rFonts w:ascii="Arial" w:hAnsi="Arial" w:cs="Arial"/>
          <w:sz w:val="24"/>
          <w:szCs w:val="24"/>
          <w:lang w:val="uk-UA"/>
        </w:rPr>
        <w:t>-  1 міський та 7 сільських музеїв.</w:t>
      </w:r>
    </w:p>
    <w:p w:rsidR="00A9511C" w:rsidRPr="00E61D40" w:rsidRDefault="00A9511C" w:rsidP="00A9511C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E61D40">
        <w:rPr>
          <w:rFonts w:ascii="Arial" w:hAnsi="Arial" w:cs="Arial"/>
          <w:sz w:val="24"/>
          <w:szCs w:val="24"/>
          <w:lang w:val="uk-UA"/>
        </w:rPr>
        <w:t>За 2016 рік закладами культури було організовано та проведено  3 072  культурно-масових заходів, кількість відвідувачів на яких становила 708 985 чол., з них для дітей 758 – 141 877 відвідувачів.</w:t>
      </w:r>
    </w:p>
    <w:p w:rsidR="00A9511C" w:rsidRPr="00E61D40" w:rsidRDefault="00A9511C" w:rsidP="00A9511C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61D40">
        <w:rPr>
          <w:rFonts w:ascii="Arial" w:eastAsia="Times New Roman" w:hAnsi="Arial" w:cs="Arial"/>
          <w:sz w:val="24"/>
          <w:szCs w:val="24"/>
          <w:lang w:val="uk-UA"/>
        </w:rPr>
        <w:t xml:space="preserve">По всій мережі закладів клубного типу Болградського району налічується 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br/>
        <w:t xml:space="preserve">41 майстрів образотворчого та декоративно-прикладного мистецтва, а також 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br/>
        <w:t>246 клубних формувань, з них 18 зі званням «народний» та 1 «зразковий» колективи, загальна чисельність учасників усіх клубних формувань складає 3673 чол. Також існують 12 аматорських об'єднань та клубів за інтересами, кількість учасників яких становить 315 осіб.</w:t>
      </w:r>
    </w:p>
    <w:p w:rsidR="00A9511C" w:rsidRDefault="00A9511C" w:rsidP="00A9511C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495925" cy="2790825"/>
            <wp:effectExtent l="19050" t="0" r="9525" b="0"/>
            <wp:docPr id="32" name="Рисунок 6" descr="IMG_1834 Винный фестиваль «Bolgrad Wine Fest 2016»: вино, каварма и хора (фоторепортаж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834 Винный фестиваль «Bolgrad Wine Fest 2016»: вино, каварма и хора (фоторепортаж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1C" w:rsidRPr="00E61D40" w:rsidRDefault="00A9511C" w:rsidP="00A9511C">
      <w:pPr>
        <w:ind w:firstLine="708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</w:t>
      </w:r>
      <w:r w:rsidRPr="00E61D40">
        <w:rPr>
          <w:rFonts w:ascii="Arial" w:eastAsia="Times New Roman" w:hAnsi="Arial" w:cs="Arial"/>
          <w:sz w:val="24"/>
          <w:szCs w:val="24"/>
          <w:lang w:val="uk-UA"/>
        </w:rPr>
        <w:t>олективи художньої самодіяльності відвідують різноманітні Міжнародні, Регіональні та районні фестивалі та конкурси, ведеться постійне співробітництво з республікою Болгарією. Середня кількість виїздів колективів за межі району становить приблизно 30 виїздів  за рік, серед них такі фестивалі, як: «Місто Лева»  м. Львів;  «Золотий Олімп» - м. Полтава; Дні гагаузької культури – м. Стамбул Турція; Всеукраїнський болгарський  Собор; «Селото на орехита пее» с. Добрина – Болгарія, тощо.</w:t>
      </w:r>
      <w:bookmarkStart w:id="0" w:name="_GoBack"/>
      <w:bookmarkEnd w:id="0"/>
    </w:p>
    <w:sectPr w:rsidR="00A9511C" w:rsidRPr="00E61D40" w:rsidSect="000459F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85E"/>
    <w:multiLevelType w:val="hybridMultilevel"/>
    <w:tmpl w:val="17FC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A80"/>
    <w:multiLevelType w:val="hybridMultilevel"/>
    <w:tmpl w:val="3D74EF62"/>
    <w:lvl w:ilvl="0" w:tplc="9B2C565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25864"/>
    <w:multiLevelType w:val="hybridMultilevel"/>
    <w:tmpl w:val="CB5E5FB6"/>
    <w:lvl w:ilvl="0" w:tplc="228A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76803"/>
    <w:multiLevelType w:val="hybridMultilevel"/>
    <w:tmpl w:val="CB5E5FB6"/>
    <w:lvl w:ilvl="0" w:tplc="228A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35302"/>
    <w:multiLevelType w:val="hybridMultilevel"/>
    <w:tmpl w:val="CB5E5FB6"/>
    <w:lvl w:ilvl="0" w:tplc="228A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E654C"/>
    <w:multiLevelType w:val="hybridMultilevel"/>
    <w:tmpl w:val="D76CF8DC"/>
    <w:lvl w:ilvl="0" w:tplc="D870DC80">
      <w:start w:val="1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026B4"/>
    <w:multiLevelType w:val="hybridMultilevel"/>
    <w:tmpl w:val="CB5E5FB6"/>
    <w:lvl w:ilvl="0" w:tplc="228A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82310"/>
    <w:multiLevelType w:val="hybridMultilevel"/>
    <w:tmpl w:val="C3AE8A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402"/>
    <w:rsid w:val="000118A5"/>
    <w:rsid w:val="000130D8"/>
    <w:rsid w:val="0002110D"/>
    <w:rsid w:val="000457AE"/>
    <w:rsid w:val="000459FA"/>
    <w:rsid w:val="00051E23"/>
    <w:rsid w:val="00076909"/>
    <w:rsid w:val="00081ABC"/>
    <w:rsid w:val="00084294"/>
    <w:rsid w:val="00085830"/>
    <w:rsid w:val="000B376B"/>
    <w:rsid w:val="000B39CB"/>
    <w:rsid w:val="00111DC7"/>
    <w:rsid w:val="00124E1F"/>
    <w:rsid w:val="00146117"/>
    <w:rsid w:val="001654F0"/>
    <w:rsid w:val="00173BA1"/>
    <w:rsid w:val="001D1C92"/>
    <w:rsid w:val="001E3205"/>
    <w:rsid w:val="00247254"/>
    <w:rsid w:val="002605D2"/>
    <w:rsid w:val="00274FB3"/>
    <w:rsid w:val="002B3456"/>
    <w:rsid w:val="002D1685"/>
    <w:rsid w:val="003176DA"/>
    <w:rsid w:val="00325B88"/>
    <w:rsid w:val="00353E67"/>
    <w:rsid w:val="00354396"/>
    <w:rsid w:val="00370ECA"/>
    <w:rsid w:val="003D563C"/>
    <w:rsid w:val="003F10B5"/>
    <w:rsid w:val="003F40E1"/>
    <w:rsid w:val="00406FD0"/>
    <w:rsid w:val="00437707"/>
    <w:rsid w:val="00444D98"/>
    <w:rsid w:val="00466D8F"/>
    <w:rsid w:val="004B7FAE"/>
    <w:rsid w:val="004E0C2A"/>
    <w:rsid w:val="004E6C8A"/>
    <w:rsid w:val="004E7A9A"/>
    <w:rsid w:val="00502E98"/>
    <w:rsid w:val="005038B2"/>
    <w:rsid w:val="0052257F"/>
    <w:rsid w:val="00541117"/>
    <w:rsid w:val="0056454D"/>
    <w:rsid w:val="005706FF"/>
    <w:rsid w:val="00577F07"/>
    <w:rsid w:val="00592590"/>
    <w:rsid w:val="005B6F11"/>
    <w:rsid w:val="005E47DC"/>
    <w:rsid w:val="00652A32"/>
    <w:rsid w:val="006552AD"/>
    <w:rsid w:val="006946B1"/>
    <w:rsid w:val="006A58BE"/>
    <w:rsid w:val="006C342F"/>
    <w:rsid w:val="006D138E"/>
    <w:rsid w:val="006D3F39"/>
    <w:rsid w:val="006F4B9B"/>
    <w:rsid w:val="006F66C2"/>
    <w:rsid w:val="00704402"/>
    <w:rsid w:val="007047D8"/>
    <w:rsid w:val="007251A0"/>
    <w:rsid w:val="00735CBF"/>
    <w:rsid w:val="00744799"/>
    <w:rsid w:val="007455BF"/>
    <w:rsid w:val="00747E04"/>
    <w:rsid w:val="00754F36"/>
    <w:rsid w:val="007552AB"/>
    <w:rsid w:val="00780666"/>
    <w:rsid w:val="00787113"/>
    <w:rsid w:val="007C308E"/>
    <w:rsid w:val="007C4652"/>
    <w:rsid w:val="007D7FE4"/>
    <w:rsid w:val="007F7852"/>
    <w:rsid w:val="0080782D"/>
    <w:rsid w:val="00814983"/>
    <w:rsid w:val="008226EB"/>
    <w:rsid w:val="00824481"/>
    <w:rsid w:val="008364FB"/>
    <w:rsid w:val="0083721A"/>
    <w:rsid w:val="008452FE"/>
    <w:rsid w:val="00873BC7"/>
    <w:rsid w:val="00890577"/>
    <w:rsid w:val="008C4FEE"/>
    <w:rsid w:val="008E2FBC"/>
    <w:rsid w:val="009053E0"/>
    <w:rsid w:val="009129AC"/>
    <w:rsid w:val="009218A6"/>
    <w:rsid w:val="00947353"/>
    <w:rsid w:val="00976634"/>
    <w:rsid w:val="00992D15"/>
    <w:rsid w:val="009C58EA"/>
    <w:rsid w:val="009D1A19"/>
    <w:rsid w:val="009F366C"/>
    <w:rsid w:val="009F3FBA"/>
    <w:rsid w:val="009F71D6"/>
    <w:rsid w:val="00A008AF"/>
    <w:rsid w:val="00A9511C"/>
    <w:rsid w:val="00A97F78"/>
    <w:rsid w:val="00AC56CE"/>
    <w:rsid w:val="00AC56D1"/>
    <w:rsid w:val="00AE7640"/>
    <w:rsid w:val="00AF07AB"/>
    <w:rsid w:val="00B1286D"/>
    <w:rsid w:val="00B24F4E"/>
    <w:rsid w:val="00B32D6E"/>
    <w:rsid w:val="00B57FAA"/>
    <w:rsid w:val="00B70FBD"/>
    <w:rsid w:val="00B71B99"/>
    <w:rsid w:val="00BB4012"/>
    <w:rsid w:val="00BB517F"/>
    <w:rsid w:val="00BE1700"/>
    <w:rsid w:val="00C03735"/>
    <w:rsid w:val="00C1576B"/>
    <w:rsid w:val="00C2527C"/>
    <w:rsid w:val="00C37487"/>
    <w:rsid w:val="00C47B3D"/>
    <w:rsid w:val="00C754FF"/>
    <w:rsid w:val="00CB2CEA"/>
    <w:rsid w:val="00CB35AA"/>
    <w:rsid w:val="00D04F2C"/>
    <w:rsid w:val="00D5249B"/>
    <w:rsid w:val="00D702E9"/>
    <w:rsid w:val="00D83A6E"/>
    <w:rsid w:val="00DA4867"/>
    <w:rsid w:val="00DA5121"/>
    <w:rsid w:val="00DC5EF0"/>
    <w:rsid w:val="00DC6E8E"/>
    <w:rsid w:val="00DD1B0B"/>
    <w:rsid w:val="00E06047"/>
    <w:rsid w:val="00E61D40"/>
    <w:rsid w:val="00E85E2E"/>
    <w:rsid w:val="00E96B48"/>
    <w:rsid w:val="00EB6F54"/>
    <w:rsid w:val="00EC012F"/>
    <w:rsid w:val="00EF4E66"/>
    <w:rsid w:val="00F13F41"/>
    <w:rsid w:val="00F146AD"/>
    <w:rsid w:val="00F22D0D"/>
    <w:rsid w:val="00F2528F"/>
    <w:rsid w:val="00F44699"/>
    <w:rsid w:val="00F459CF"/>
    <w:rsid w:val="00F54469"/>
    <w:rsid w:val="00F60B43"/>
    <w:rsid w:val="00FA33D8"/>
    <w:rsid w:val="00FF34B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d975,#19573e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A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F7852"/>
  </w:style>
  <w:style w:type="character" w:customStyle="1" w:styleId="notranslate">
    <w:name w:val="notranslate"/>
    <w:rsid w:val="007F7852"/>
  </w:style>
  <w:style w:type="paragraph" w:styleId="a4">
    <w:name w:val="No Spacing"/>
    <w:uiPriority w:val="1"/>
    <w:qFormat/>
    <w:rsid w:val="00C037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F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1D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814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4FC8-EC6D-4134-849D-0D624418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KIRCHEV</cp:lastModifiedBy>
  <cp:revision>4</cp:revision>
  <dcterms:created xsi:type="dcterms:W3CDTF">2017-07-05T12:20:00Z</dcterms:created>
  <dcterms:modified xsi:type="dcterms:W3CDTF">2017-07-05T12:23:00Z</dcterms:modified>
</cp:coreProperties>
</file>